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5BB9" w14:textId="77777777" w:rsidR="002068AB" w:rsidRPr="002068AB" w:rsidRDefault="002068AB" w:rsidP="00206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Title: Tenecteplase Before Thrombectomy at 4.5 to 24 Hours for Basilar Artery Occlusion</w:t>
      </w:r>
    </w:p>
    <w:p w14:paraId="7119D13B" w14:textId="77777777" w:rsidR="002068AB" w:rsidRPr="002068AB" w:rsidRDefault="002068AB" w:rsidP="0020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0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Settings</w:t>
      </w:r>
    </w:p>
    <w:p w14:paraId="067CBBA6" w14:textId="77777777" w:rsidR="002068AB" w:rsidRPr="002068AB" w:rsidRDefault="002068AB" w:rsidP="002068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Multicenter, randomized, open-label clinical trial with blinded endpoint assessment.</w:t>
      </w:r>
    </w:p>
    <w:p w14:paraId="351B8870" w14:textId="77777777" w:rsidR="002068AB" w:rsidRPr="002068AB" w:rsidRDefault="002068AB" w:rsidP="0020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0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Participants</w:t>
      </w:r>
    </w:p>
    <w:p w14:paraId="7C4E0248" w14:textId="77777777" w:rsidR="002068AB" w:rsidRPr="002068AB" w:rsidRDefault="002068AB" w:rsidP="002068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330 patients with moderate-to-severe acute ischemic stroke due to basilar artery occlusion.</w:t>
      </w:r>
    </w:p>
    <w:p w14:paraId="57BA7CF1" w14:textId="77777777" w:rsidR="002068AB" w:rsidRPr="002068AB" w:rsidRDefault="002068AB" w:rsidP="002068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Stroke onset between 4.5 and 24 hours before randomization.</w:t>
      </w:r>
    </w:p>
    <w:p w14:paraId="2857FBE6" w14:textId="77777777" w:rsidR="002068AB" w:rsidRPr="002068AB" w:rsidRDefault="002068AB" w:rsidP="002068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Inclusion criteria:</w:t>
      </w:r>
    </w:p>
    <w:p w14:paraId="526771EF" w14:textId="77777777" w:rsidR="002068AB" w:rsidRPr="002068AB" w:rsidRDefault="002068AB" w:rsidP="002068A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Age ≥18 years.</w:t>
      </w:r>
    </w:p>
    <w:p w14:paraId="658AAD52" w14:textId="77777777" w:rsidR="002068AB" w:rsidRPr="002068AB" w:rsidRDefault="002068AB" w:rsidP="002068A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NIH Stroke Scale (NIHSS) score ≥10.</w:t>
      </w:r>
    </w:p>
    <w:p w14:paraId="14281848" w14:textId="77777777" w:rsidR="002068AB" w:rsidRPr="002068AB" w:rsidRDefault="002068AB" w:rsidP="002068A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Imaging-confirmed basilar artery occlusion.</w:t>
      </w:r>
    </w:p>
    <w:p w14:paraId="61382E70" w14:textId="77777777" w:rsidR="002068AB" w:rsidRPr="002068AB" w:rsidRDefault="002068AB" w:rsidP="002068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Treatment groups:</w:t>
      </w:r>
    </w:p>
    <w:p w14:paraId="435A65F0" w14:textId="77777777" w:rsidR="002068AB" w:rsidRPr="002068AB" w:rsidRDefault="002068AB" w:rsidP="002068A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Tenecteplase (0.25 mg/kg IV bolus; maximum 25 mg) plus EVT: 166 patients.</w:t>
      </w:r>
    </w:p>
    <w:p w14:paraId="7E058D90" w14:textId="77777777" w:rsidR="002068AB" w:rsidRPr="002068AB" w:rsidRDefault="002068AB" w:rsidP="002068A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EVT alone: 164 patients.</w:t>
      </w:r>
    </w:p>
    <w:p w14:paraId="3614C44D" w14:textId="77777777" w:rsidR="002068AB" w:rsidRPr="002068AB" w:rsidRDefault="002068AB" w:rsidP="002068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Mean age: 66 years; 73% male.</w:t>
      </w:r>
    </w:p>
    <w:p w14:paraId="55BB8288" w14:textId="77777777" w:rsidR="002068AB" w:rsidRPr="002068AB" w:rsidRDefault="002068AB" w:rsidP="002068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329 patients completed 90-day follow-up.</w:t>
      </w:r>
    </w:p>
    <w:p w14:paraId="158B7CF7" w14:textId="77777777" w:rsidR="002068AB" w:rsidRPr="002068AB" w:rsidRDefault="002068AB" w:rsidP="0020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0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Outcome Measurement</w:t>
      </w:r>
    </w:p>
    <w:p w14:paraId="2345D63D" w14:textId="77777777" w:rsidR="002068AB" w:rsidRPr="002068AB" w:rsidRDefault="002068AB" w:rsidP="002068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Primary outcome: Functional independence at 90 days, defined as modified Rankin Scale (mRS) score 0–2.</w:t>
      </w:r>
    </w:p>
    <w:p w14:paraId="4938B914" w14:textId="77777777" w:rsidR="002068AB" w:rsidRPr="002068AB" w:rsidRDefault="002068AB" w:rsidP="002068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Secondary outcomes:</w:t>
      </w:r>
    </w:p>
    <w:p w14:paraId="202102B8" w14:textId="77777777" w:rsidR="002068AB" w:rsidRPr="002068AB" w:rsidRDefault="002068AB" w:rsidP="002068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mRS distribution at 90 days.</w:t>
      </w:r>
    </w:p>
    <w:p w14:paraId="2D720724" w14:textId="77777777" w:rsidR="002068AB" w:rsidRPr="002068AB" w:rsidRDefault="002068AB" w:rsidP="002068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Neurological improvement assessed by NIHSS.</w:t>
      </w:r>
    </w:p>
    <w:p w14:paraId="0A88AFB2" w14:textId="77777777" w:rsidR="002068AB" w:rsidRPr="002068AB" w:rsidRDefault="002068AB" w:rsidP="002068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Successful reperfusion and recanalization.</w:t>
      </w:r>
    </w:p>
    <w:p w14:paraId="38C8FB4F" w14:textId="77777777" w:rsidR="002068AB" w:rsidRPr="002068AB" w:rsidRDefault="002068AB" w:rsidP="002068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Functional status and quality of life.</w:t>
      </w:r>
    </w:p>
    <w:p w14:paraId="115DCFA8" w14:textId="77777777" w:rsidR="002068AB" w:rsidRPr="002068AB" w:rsidRDefault="002068AB" w:rsidP="002068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Safety outcomes:</w:t>
      </w:r>
    </w:p>
    <w:p w14:paraId="56F41E38" w14:textId="77777777" w:rsidR="002068AB" w:rsidRPr="002068AB" w:rsidRDefault="002068AB" w:rsidP="002068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Symptomatic intracranial hemorrhage within 72 hours.</w:t>
      </w:r>
    </w:p>
    <w:p w14:paraId="6E384167" w14:textId="77777777" w:rsidR="002068AB" w:rsidRPr="002068AB" w:rsidRDefault="002068AB" w:rsidP="002068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Mortality at 7 and 90 days.</w:t>
      </w:r>
    </w:p>
    <w:p w14:paraId="7F31FE4E" w14:textId="77777777" w:rsidR="002068AB" w:rsidRPr="002068AB" w:rsidRDefault="002068AB" w:rsidP="0020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0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Study Results</w:t>
      </w:r>
    </w:p>
    <w:p w14:paraId="3BF5FA23" w14:textId="7FBD89A5" w:rsidR="002068AB" w:rsidRPr="002068AB" w:rsidRDefault="002068AB" w:rsidP="0020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Primary outcome:</w:t>
      </w:r>
      <w:r w:rsidR="00153748">
        <w:rPr>
          <w:rFonts w:ascii="Times New Roman" w:eastAsia="Times New Roman" w:hAnsi="Times New Roman" w:cs="Times New Roman"/>
          <w:kern w:val="0"/>
          <w14:ligatures w14:val="none"/>
        </w:rPr>
        <w:t xml:space="preserve"> 90-day mRS 0-2</w:t>
      </w:r>
    </w:p>
    <w:p w14:paraId="6689D7AB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Tenecteplase + EVT: 30.3% (50/165).</w:t>
      </w:r>
    </w:p>
    <w:p w14:paraId="5123BBD9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EVT alone: 30.5% (50/164).</w:t>
      </w:r>
    </w:p>
    <w:p w14:paraId="62EA4FEB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Adjusted rate ratio: 0.92 (95% CI, 0.67–1.25).</w:t>
      </w:r>
    </w:p>
    <w:p w14:paraId="5208CD47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Absolute risk difference: −0.18% (95% CI, −10.13% to 9.76%).</w:t>
      </w:r>
    </w:p>
    <w:p w14:paraId="36B7EDA4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No statistically significant improvement in functional independence.</w:t>
      </w:r>
    </w:p>
    <w:p w14:paraId="72F6E448" w14:textId="77777777" w:rsidR="002068AB" w:rsidRPr="002068AB" w:rsidRDefault="002068AB" w:rsidP="0020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Symptomatic intracranial hemorrhage:</w:t>
      </w:r>
    </w:p>
    <w:p w14:paraId="04A08B68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Tenecteplase + EVT: 5.1%.</w:t>
      </w:r>
    </w:p>
    <w:p w14:paraId="1E10C1F7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EVT alone: 4.0%.</w:t>
      </w:r>
    </w:p>
    <w:p w14:paraId="03EDE884" w14:textId="77777777" w:rsidR="002068AB" w:rsidRPr="002068AB" w:rsidRDefault="002068AB" w:rsidP="0020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90-day mortality:</w:t>
      </w:r>
    </w:p>
    <w:p w14:paraId="58FDC3E1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Tenecteplase + EVT: 40.0%.</w:t>
      </w:r>
    </w:p>
    <w:p w14:paraId="1A5063DC" w14:textId="77777777" w:rsidR="002068AB" w:rsidRPr="002068AB" w:rsidRDefault="002068AB" w:rsidP="002068A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EVT alone: 42.7%.</w:t>
      </w:r>
    </w:p>
    <w:p w14:paraId="1913AF96" w14:textId="77777777" w:rsidR="002068AB" w:rsidRPr="002068AB" w:rsidRDefault="002068AB" w:rsidP="002068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No significant difference in overall functional outcomes, mortality, or symptomatic intracranial hemorrhage.</w:t>
      </w:r>
    </w:p>
    <w:p w14:paraId="2343DDF8" w14:textId="77777777" w:rsidR="002068AB" w:rsidRPr="002068AB" w:rsidRDefault="002068AB" w:rsidP="0020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0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Discussion</w:t>
      </w:r>
    </w:p>
    <w:p w14:paraId="7DA729B7" w14:textId="77777777" w:rsidR="002068AB" w:rsidRPr="002068AB" w:rsidRDefault="002068AB" w:rsidP="0020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Tenecteplase increased early reperfusion before EVT but did not translate into improved functional outcomes.</w:t>
      </w:r>
    </w:p>
    <w:p w14:paraId="10F83B48" w14:textId="77777777" w:rsidR="002068AB" w:rsidRPr="002068AB" w:rsidRDefault="002068AB" w:rsidP="0020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Rapid access to thrombectomy may limit the additional benefit of intravenous thrombolysis.</w:t>
      </w:r>
    </w:p>
    <w:p w14:paraId="1E06FEEB" w14:textId="77777777" w:rsidR="002068AB" w:rsidRPr="002068AB" w:rsidRDefault="002068AB" w:rsidP="0020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The median interval from tenecteplase administration to arterial puncture was only 12 minutes.</w:t>
      </w:r>
    </w:p>
    <w:p w14:paraId="0D6E34F9" w14:textId="77777777" w:rsidR="002068AB" w:rsidRPr="002068AB" w:rsidRDefault="002068AB" w:rsidP="002068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Important limitations:</w:t>
      </w:r>
    </w:p>
    <w:p w14:paraId="57F2DF64" w14:textId="77777777" w:rsidR="002068AB" w:rsidRPr="002068AB" w:rsidRDefault="002068AB" w:rsidP="002068A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Open-label design.</w:t>
      </w:r>
    </w:p>
    <w:p w14:paraId="1B70DC3E" w14:textId="77777777" w:rsidR="002068AB" w:rsidRPr="002068AB" w:rsidRDefault="002068AB" w:rsidP="002068A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Conducted exclusively in China, potentially limiting generalizability.</w:t>
      </w:r>
    </w:p>
    <w:p w14:paraId="53BDF2FD" w14:textId="77777777" w:rsidR="002068AB" w:rsidRPr="002068AB" w:rsidRDefault="002068AB" w:rsidP="002068A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Excluded patients with mild stroke (NIHSS below 10).</w:t>
      </w:r>
    </w:p>
    <w:p w14:paraId="391FC427" w14:textId="77777777" w:rsidR="002068AB" w:rsidRPr="002068AB" w:rsidRDefault="002068AB" w:rsidP="002068A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Underpowered to detect smaller clinically meaningful treatment effects.</w:t>
      </w:r>
    </w:p>
    <w:p w14:paraId="12B4E9C2" w14:textId="77777777" w:rsidR="002068AB" w:rsidRPr="002068AB" w:rsidRDefault="002068AB" w:rsidP="002068A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Findings may not apply to patients requiring interhospital transfer or experiencing EVT delays.</w:t>
      </w:r>
    </w:p>
    <w:p w14:paraId="417865EF" w14:textId="77777777" w:rsidR="002068AB" w:rsidRPr="002068AB" w:rsidRDefault="002068AB" w:rsidP="002068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0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Conclusion</w:t>
      </w:r>
    </w:p>
    <w:p w14:paraId="42EB4CFA" w14:textId="77777777" w:rsidR="002068AB" w:rsidRPr="002068AB" w:rsidRDefault="002068AB" w:rsidP="002068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Adding intravenous tenecteplase before EVT did not improve 90-day functional independence in patients presenting 4.5–24 hours after basilar artery occlusion.</w:t>
      </w:r>
    </w:p>
    <w:p w14:paraId="57F4F3C7" w14:textId="77777777" w:rsidR="002068AB" w:rsidRPr="002068AB" w:rsidRDefault="002068AB" w:rsidP="002068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No statistically significant differences in mortality or symptomatic intracranial hemorrhage were identified.</w:t>
      </w:r>
    </w:p>
    <w:p w14:paraId="6B38F4C7" w14:textId="77777777" w:rsidR="002068AB" w:rsidRPr="002068AB" w:rsidRDefault="002068AB" w:rsidP="002068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Additional research is needed to determine whether tenecteplase benefits patients with delayed access to EVT.</w:t>
      </w:r>
    </w:p>
    <w:p w14:paraId="2380A7C1" w14:textId="77777777" w:rsidR="002068AB" w:rsidRPr="002068AB" w:rsidRDefault="002068AB" w:rsidP="00206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68AB">
        <w:rPr>
          <w:rFonts w:ascii="Times New Roman" w:eastAsia="Times New Roman" w:hAnsi="Times New Roman" w:cs="Times New Roman"/>
          <w:kern w:val="0"/>
          <w14:ligatures w14:val="none"/>
        </w:rPr>
        <w:t>Bottom line: For patients with moderate-to-severe basilar artery occlusion arriving directly at an EVT-capable center 4.5–24 hours after stroke onset, adding tenecteplase before thrombectomy did not improve clinical outcomes compared with thrombectomy alone.</w:t>
      </w:r>
    </w:p>
    <w:p w14:paraId="6C67A4FA" w14:textId="23C18EA9" w:rsidR="00D211BE" w:rsidRPr="002068AB" w:rsidRDefault="00153748" w:rsidP="00D21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5374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7. </w:t>
      </w:r>
      <w:r w:rsidR="00D211BE" w:rsidRPr="0015374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Reference</w:t>
      </w:r>
      <w:r w:rsidR="00D211BE" w:rsidRPr="002068AB">
        <w:rPr>
          <w:rFonts w:ascii="Times New Roman" w:eastAsia="Times New Roman" w:hAnsi="Times New Roman" w:cs="Times New Roman"/>
          <w:kern w:val="0"/>
          <w14:ligatures w14:val="none"/>
        </w:rPr>
        <w:t xml:space="preserve">: Li R, et al. JAMA. Published September 23, 2026. DOI: </w:t>
      </w:r>
      <w:hyperlink r:id="rId5" w:history="1">
        <w:r w:rsidR="00D211BE" w:rsidRPr="00D211BE">
          <w:rPr>
            <w:rFonts w:ascii="Times New Roman" w:eastAsia="Times New Roman" w:hAnsi="Times New Roman" w:cs="Times New Roman"/>
            <w:kern w:val="0"/>
            <w14:ligatures w14:val="none"/>
          </w:rPr>
          <w:t>10.1001/jama.2026.15496</w:t>
        </w:r>
      </w:hyperlink>
    </w:p>
    <w:p w14:paraId="0BC268C2" w14:textId="77777777" w:rsidR="00D52199" w:rsidRDefault="00D52199"/>
    <w:sectPr w:rsidR="00D52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C4DF1"/>
    <w:multiLevelType w:val="multilevel"/>
    <w:tmpl w:val="9DC6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B2A42"/>
    <w:multiLevelType w:val="multilevel"/>
    <w:tmpl w:val="0512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A621F"/>
    <w:multiLevelType w:val="multilevel"/>
    <w:tmpl w:val="F4EA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21611"/>
    <w:multiLevelType w:val="multilevel"/>
    <w:tmpl w:val="7F28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15C1A"/>
    <w:multiLevelType w:val="multilevel"/>
    <w:tmpl w:val="4D2A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F35AD0"/>
    <w:multiLevelType w:val="multilevel"/>
    <w:tmpl w:val="3AE0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010252"/>
    <w:multiLevelType w:val="multilevel"/>
    <w:tmpl w:val="7C52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855908">
    <w:abstractNumId w:val="1"/>
  </w:num>
  <w:num w:numId="2" w16cid:durableId="1421833316">
    <w:abstractNumId w:val="6"/>
  </w:num>
  <w:num w:numId="3" w16cid:durableId="723523520">
    <w:abstractNumId w:val="4"/>
  </w:num>
  <w:num w:numId="4" w16cid:durableId="1727339332">
    <w:abstractNumId w:val="3"/>
  </w:num>
  <w:num w:numId="5" w16cid:durableId="256258480">
    <w:abstractNumId w:val="2"/>
  </w:num>
  <w:num w:numId="6" w16cid:durableId="1177961283">
    <w:abstractNumId w:val="5"/>
  </w:num>
  <w:num w:numId="7" w16cid:durableId="44269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AB"/>
    <w:rsid w:val="00153748"/>
    <w:rsid w:val="002068AB"/>
    <w:rsid w:val="007C3E8A"/>
    <w:rsid w:val="00BE616B"/>
    <w:rsid w:val="00D211BE"/>
    <w:rsid w:val="00D52199"/>
    <w:rsid w:val="00F5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1DE32"/>
  <w15:chartTrackingRefBased/>
  <w15:docId w15:val="{7A670EC7-BC83-4B69-9C12-1E3806A0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1BE"/>
  </w:style>
  <w:style w:type="paragraph" w:styleId="Heading1">
    <w:name w:val="heading 1"/>
    <w:basedOn w:val="Normal"/>
    <w:next w:val="Normal"/>
    <w:link w:val="Heading1Char"/>
    <w:uiPriority w:val="9"/>
    <w:qFormat/>
    <w:rsid w:val="00206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8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01/jama.2026.154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Quincy</dc:creator>
  <cp:keywords/>
  <dc:description/>
  <cp:lastModifiedBy>Tran, Quincy</cp:lastModifiedBy>
  <cp:revision>2</cp:revision>
  <dcterms:created xsi:type="dcterms:W3CDTF">2026-10-13T19:13:00Z</dcterms:created>
  <dcterms:modified xsi:type="dcterms:W3CDTF">2026-10-13T19:40:00Z</dcterms:modified>
</cp:coreProperties>
</file>